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A3" w:rsidRPr="00C607A3" w:rsidRDefault="00C607A3" w:rsidP="00C607A3">
      <w:pPr>
        <w:jc w:val="center"/>
        <w:rPr>
          <w:rFonts w:ascii="Verdana" w:hAnsi="Verdana"/>
          <w:b/>
          <w:sz w:val="24"/>
          <w:szCs w:val="24"/>
        </w:rPr>
      </w:pPr>
      <w:r w:rsidRPr="00C607A3">
        <w:rPr>
          <w:rFonts w:ascii="Verdana" w:hAnsi="Verdana"/>
          <w:b/>
          <w:sz w:val="28"/>
          <w:szCs w:val="24"/>
        </w:rPr>
        <w:t>Conditioned Arising</w:t>
      </w:r>
    </w:p>
    <w:p w:rsidR="00BB0164" w:rsidRDefault="00C607A3" w:rsidP="00C607A3">
      <w:pPr>
        <w:rPr>
          <w:rFonts w:ascii="Verdana" w:hAnsi="Verdana"/>
          <w:sz w:val="24"/>
          <w:szCs w:val="24"/>
        </w:rPr>
      </w:pPr>
      <w:r w:rsidRPr="00C607A3">
        <w:rPr>
          <w:rFonts w:ascii="Verdana" w:hAnsi="Verdana"/>
          <w:sz w:val="24"/>
          <w:szCs w:val="24"/>
        </w:rPr>
        <w:t>A doctrine strongly related to the teaching on the four True Realities for the Spiritually Ennobled, particularly the second, is that of ‘Conditioned Arising’ (</w:t>
      </w:r>
      <w:proofErr w:type="spellStart"/>
      <w:r w:rsidRPr="00BB0164">
        <w:rPr>
          <w:rFonts w:ascii="Verdana" w:hAnsi="Verdana"/>
          <w:i/>
          <w:sz w:val="24"/>
          <w:szCs w:val="24"/>
        </w:rPr>
        <w:t>pa</w:t>
      </w:r>
      <w:r w:rsidR="00BB0164" w:rsidRPr="00BB0164">
        <w:rPr>
          <w:rFonts w:ascii="Verdana" w:hAnsi="Verdana"/>
          <w:i/>
          <w:sz w:val="24"/>
          <w:szCs w:val="24"/>
        </w:rPr>
        <w:t>t</w:t>
      </w:r>
      <w:r w:rsidRPr="00BB0164">
        <w:rPr>
          <w:rFonts w:ascii="Verdana" w:hAnsi="Verdana"/>
          <w:i/>
          <w:sz w:val="24"/>
          <w:szCs w:val="24"/>
        </w:rPr>
        <w:t>icca-samupp</w:t>
      </w:r>
      <w:r w:rsidR="00BB0164" w:rsidRPr="00BB0164">
        <w:rPr>
          <w:rFonts w:ascii="Verdana" w:hAnsi="Verdana"/>
          <w:i/>
          <w:sz w:val="24"/>
          <w:szCs w:val="24"/>
        </w:rPr>
        <w:t>a</w:t>
      </w:r>
      <w:r w:rsidRPr="00BB0164">
        <w:rPr>
          <w:rFonts w:ascii="Verdana" w:hAnsi="Verdana"/>
          <w:i/>
          <w:sz w:val="24"/>
          <w:szCs w:val="24"/>
        </w:rPr>
        <w:t>da</w:t>
      </w:r>
      <w:proofErr w:type="spellEnd"/>
      <w:r w:rsidRPr="00C607A3">
        <w:rPr>
          <w:rFonts w:ascii="Verdana" w:hAnsi="Verdana"/>
          <w:sz w:val="24"/>
          <w:szCs w:val="24"/>
        </w:rPr>
        <w:t xml:space="preserve">, </w:t>
      </w:r>
      <w:proofErr w:type="spellStart"/>
      <w:r w:rsidRPr="00C607A3">
        <w:rPr>
          <w:rFonts w:ascii="Verdana" w:hAnsi="Verdana"/>
          <w:sz w:val="24"/>
          <w:szCs w:val="24"/>
        </w:rPr>
        <w:t>Skt</w:t>
      </w:r>
      <w:proofErr w:type="spellEnd"/>
      <w:r w:rsidRPr="00C607A3">
        <w:rPr>
          <w:rFonts w:ascii="Verdana" w:hAnsi="Verdana"/>
          <w:sz w:val="24"/>
          <w:szCs w:val="24"/>
        </w:rPr>
        <w:t xml:space="preserve"> </w:t>
      </w:r>
      <w:proofErr w:type="spellStart"/>
      <w:r w:rsidRPr="00BB0164">
        <w:rPr>
          <w:rFonts w:ascii="Verdana" w:hAnsi="Verdana"/>
          <w:i/>
          <w:sz w:val="24"/>
          <w:szCs w:val="24"/>
        </w:rPr>
        <w:t>prat</w:t>
      </w:r>
      <w:r w:rsidR="00BB0164" w:rsidRPr="00BB0164">
        <w:rPr>
          <w:rFonts w:ascii="Verdana" w:hAnsi="Verdana"/>
          <w:i/>
          <w:sz w:val="24"/>
          <w:szCs w:val="24"/>
        </w:rPr>
        <w:t>i</w:t>
      </w:r>
      <w:r w:rsidRPr="00BB0164">
        <w:rPr>
          <w:rFonts w:ascii="Verdana" w:hAnsi="Verdana"/>
          <w:i/>
          <w:sz w:val="24"/>
          <w:szCs w:val="24"/>
        </w:rPr>
        <w:t>tya-samutp</w:t>
      </w:r>
      <w:r w:rsidR="00BB0164" w:rsidRPr="00BB0164">
        <w:rPr>
          <w:rFonts w:ascii="Verdana" w:hAnsi="Verdana"/>
          <w:i/>
          <w:sz w:val="24"/>
          <w:szCs w:val="24"/>
        </w:rPr>
        <w:t>a</w:t>
      </w:r>
      <w:r w:rsidRPr="00BB0164">
        <w:rPr>
          <w:rFonts w:ascii="Verdana" w:hAnsi="Verdana"/>
          <w:i/>
          <w:sz w:val="24"/>
          <w:szCs w:val="24"/>
        </w:rPr>
        <w:t>da</w:t>
      </w:r>
      <w:proofErr w:type="spellEnd"/>
      <w:r w:rsidRPr="00C607A3">
        <w:rPr>
          <w:rFonts w:ascii="Verdana" w:hAnsi="Verdana"/>
          <w:sz w:val="24"/>
          <w:szCs w:val="24"/>
        </w:rPr>
        <w:t>; also translated as ‘Dependent Origination’).</w:t>
      </w:r>
      <w:r w:rsidR="00BB0164">
        <w:rPr>
          <w:rFonts w:ascii="Verdana" w:hAnsi="Verdana"/>
          <w:sz w:val="24"/>
          <w:szCs w:val="24"/>
        </w:rPr>
        <w:t xml:space="preserve"> </w:t>
      </w:r>
      <w:r w:rsidRPr="00C607A3">
        <w:rPr>
          <w:rFonts w:ascii="Verdana" w:hAnsi="Verdana"/>
          <w:sz w:val="24"/>
          <w:szCs w:val="24"/>
        </w:rPr>
        <w:t xml:space="preserve">The key sources for this doctrine are the </w:t>
      </w:r>
      <w:proofErr w:type="spellStart"/>
      <w:r w:rsidRPr="00BB0164">
        <w:rPr>
          <w:rFonts w:ascii="Verdana" w:hAnsi="Verdana"/>
          <w:i/>
          <w:sz w:val="24"/>
          <w:szCs w:val="24"/>
        </w:rPr>
        <w:t>Nid</w:t>
      </w:r>
      <w:r w:rsidR="00BB0164" w:rsidRPr="00BB0164">
        <w:rPr>
          <w:rFonts w:ascii="Verdana" w:hAnsi="Verdana"/>
          <w:i/>
          <w:sz w:val="24"/>
          <w:szCs w:val="24"/>
        </w:rPr>
        <w:t>a</w:t>
      </w:r>
      <w:r w:rsidRPr="00BB0164">
        <w:rPr>
          <w:rFonts w:ascii="Verdana" w:hAnsi="Verdana"/>
          <w:i/>
          <w:sz w:val="24"/>
          <w:szCs w:val="24"/>
        </w:rPr>
        <w:t>na</w:t>
      </w:r>
      <w:proofErr w:type="spellEnd"/>
      <w:r w:rsidRPr="00BB0164">
        <w:rPr>
          <w:rFonts w:ascii="Verdana" w:hAnsi="Verdana"/>
          <w:i/>
          <w:sz w:val="24"/>
          <w:szCs w:val="24"/>
        </w:rPr>
        <w:t xml:space="preserve"> </w:t>
      </w:r>
      <w:proofErr w:type="spellStart"/>
      <w:r w:rsidRPr="00BB0164">
        <w:rPr>
          <w:rFonts w:ascii="Verdana" w:hAnsi="Verdana"/>
          <w:i/>
          <w:sz w:val="24"/>
          <w:szCs w:val="24"/>
        </w:rPr>
        <w:t>Sa</w:t>
      </w:r>
      <w:r w:rsidR="00BB0164" w:rsidRPr="00BB0164">
        <w:rPr>
          <w:rFonts w:ascii="Verdana" w:hAnsi="Verdana"/>
          <w:i/>
          <w:sz w:val="24"/>
          <w:szCs w:val="24"/>
        </w:rPr>
        <w:t>m</w:t>
      </w:r>
      <w:r w:rsidRPr="00BB0164">
        <w:rPr>
          <w:rFonts w:ascii="Verdana" w:hAnsi="Verdana"/>
          <w:i/>
          <w:sz w:val="24"/>
          <w:szCs w:val="24"/>
        </w:rPr>
        <w:t>yutta</w:t>
      </w:r>
      <w:proofErr w:type="spellEnd"/>
      <w:r w:rsidRPr="00C607A3">
        <w:rPr>
          <w:rFonts w:ascii="Verdana" w:hAnsi="Verdana"/>
          <w:sz w:val="24"/>
          <w:szCs w:val="24"/>
        </w:rPr>
        <w:t xml:space="preserve"> (</w:t>
      </w:r>
      <w:r w:rsidRPr="00BB0164">
        <w:rPr>
          <w:rFonts w:ascii="Verdana" w:hAnsi="Verdana"/>
          <w:i/>
          <w:sz w:val="24"/>
          <w:szCs w:val="24"/>
        </w:rPr>
        <w:t>S</w:t>
      </w:r>
      <w:r w:rsidRPr="00C607A3">
        <w:rPr>
          <w:rFonts w:ascii="Verdana" w:hAnsi="Verdana"/>
          <w:sz w:val="24"/>
          <w:szCs w:val="24"/>
        </w:rPr>
        <w:t xml:space="preserve">.II.1–133) and the </w:t>
      </w:r>
      <w:proofErr w:type="spellStart"/>
      <w:r w:rsidRPr="00BB0164">
        <w:rPr>
          <w:rFonts w:ascii="Verdana" w:hAnsi="Verdana"/>
          <w:i/>
          <w:sz w:val="24"/>
          <w:szCs w:val="24"/>
        </w:rPr>
        <w:t>Mah</w:t>
      </w:r>
      <w:r w:rsidR="00BB0164" w:rsidRPr="00BB0164">
        <w:rPr>
          <w:rFonts w:ascii="Verdana" w:hAnsi="Verdana"/>
          <w:i/>
          <w:sz w:val="24"/>
          <w:szCs w:val="24"/>
        </w:rPr>
        <w:t>a</w:t>
      </w:r>
      <w:r w:rsidRPr="00BB0164">
        <w:rPr>
          <w:rFonts w:ascii="Verdana" w:hAnsi="Verdana"/>
          <w:i/>
          <w:sz w:val="24"/>
          <w:szCs w:val="24"/>
        </w:rPr>
        <w:t>nid</w:t>
      </w:r>
      <w:r w:rsidR="00BB0164" w:rsidRPr="00BB0164">
        <w:rPr>
          <w:rFonts w:ascii="Verdana" w:hAnsi="Verdana"/>
          <w:i/>
          <w:sz w:val="24"/>
          <w:szCs w:val="24"/>
        </w:rPr>
        <w:t>a</w:t>
      </w:r>
      <w:r w:rsidRPr="00BB0164">
        <w:rPr>
          <w:rFonts w:ascii="Verdana" w:hAnsi="Verdana"/>
          <w:i/>
          <w:sz w:val="24"/>
          <w:szCs w:val="24"/>
        </w:rPr>
        <w:t>na</w:t>
      </w:r>
      <w:proofErr w:type="spellEnd"/>
      <w:r w:rsidRPr="00BB0164">
        <w:rPr>
          <w:rFonts w:ascii="Verdana" w:hAnsi="Verdana"/>
          <w:i/>
          <w:sz w:val="24"/>
          <w:szCs w:val="24"/>
        </w:rPr>
        <w:t xml:space="preserve"> </w:t>
      </w:r>
      <w:proofErr w:type="spellStart"/>
      <w:r w:rsidRPr="00BB0164">
        <w:rPr>
          <w:rFonts w:ascii="Verdana" w:hAnsi="Verdana"/>
          <w:i/>
          <w:sz w:val="24"/>
          <w:szCs w:val="24"/>
        </w:rPr>
        <w:t>Sutta</w:t>
      </w:r>
      <w:proofErr w:type="spellEnd"/>
      <w:r w:rsidRPr="00C607A3">
        <w:rPr>
          <w:rFonts w:ascii="Verdana" w:hAnsi="Verdana"/>
          <w:sz w:val="24"/>
          <w:szCs w:val="24"/>
        </w:rPr>
        <w:t xml:space="preserve"> (</w:t>
      </w:r>
      <w:r w:rsidRPr="00BB0164">
        <w:rPr>
          <w:rFonts w:ascii="Verdana" w:hAnsi="Verdana"/>
          <w:i/>
          <w:sz w:val="24"/>
          <w:szCs w:val="24"/>
        </w:rPr>
        <w:t>D</w:t>
      </w:r>
      <w:r w:rsidRPr="00C607A3">
        <w:rPr>
          <w:rFonts w:ascii="Verdana" w:hAnsi="Verdana"/>
          <w:sz w:val="24"/>
          <w:szCs w:val="24"/>
        </w:rPr>
        <w:t xml:space="preserve">.II.55–71). </w:t>
      </w:r>
    </w:p>
    <w:p w:rsidR="00BB0164" w:rsidRDefault="00C607A3" w:rsidP="00C607A3">
      <w:pPr>
        <w:rPr>
          <w:rFonts w:ascii="Verdana" w:hAnsi="Verdana"/>
          <w:sz w:val="24"/>
          <w:szCs w:val="24"/>
        </w:rPr>
      </w:pPr>
      <w:r w:rsidRPr="00C607A3">
        <w:rPr>
          <w:rFonts w:ascii="Verdana" w:hAnsi="Verdana"/>
          <w:sz w:val="24"/>
          <w:szCs w:val="24"/>
        </w:rPr>
        <w:t xml:space="preserve">The understanding of Conditioned Arising is so central to Buddhist practice and development that the Buddha’s chief disciple, </w:t>
      </w:r>
      <w:proofErr w:type="spellStart"/>
      <w:r w:rsidRPr="00BB0164">
        <w:rPr>
          <w:rFonts w:ascii="Verdana" w:hAnsi="Verdana"/>
          <w:sz w:val="24"/>
          <w:szCs w:val="24"/>
        </w:rPr>
        <w:t>S</w:t>
      </w:r>
      <w:r w:rsidR="00BB0164" w:rsidRPr="00BB0164">
        <w:rPr>
          <w:rFonts w:ascii="Verdana" w:hAnsi="Verdana"/>
          <w:sz w:val="24"/>
          <w:szCs w:val="24"/>
        </w:rPr>
        <w:t>a</w:t>
      </w:r>
      <w:r w:rsidRPr="00BB0164">
        <w:rPr>
          <w:rFonts w:ascii="Verdana" w:hAnsi="Verdana"/>
          <w:sz w:val="24"/>
          <w:szCs w:val="24"/>
        </w:rPr>
        <w:t>riputta</w:t>
      </w:r>
      <w:proofErr w:type="spellEnd"/>
      <w:r w:rsidRPr="00C607A3">
        <w:rPr>
          <w:rFonts w:ascii="Verdana" w:hAnsi="Verdana"/>
          <w:sz w:val="24"/>
          <w:szCs w:val="24"/>
        </w:rPr>
        <w:t xml:space="preserve">, said, ‘Whoever sees Conditioned Arising sees </w:t>
      </w:r>
      <w:proofErr w:type="spellStart"/>
      <w:r w:rsidRPr="00BB0164">
        <w:rPr>
          <w:rFonts w:ascii="Verdana" w:hAnsi="Verdana"/>
          <w:i/>
          <w:sz w:val="24"/>
          <w:szCs w:val="24"/>
        </w:rPr>
        <w:t>Dhamma</w:t>
      </w:r>
      <w:proofErr w:type="spellEnd"/>
      <w:r w:rsidRPr="00C607A3">
        <w:rPr>
          <w:rFonts w:ascii="Verdana" w:hAnsi="Verdana"/>
          <w:sz w:val="24"/>
          <w:szCs w:val="24"/>
        </w:rPr>
        <w:t xml:space="preserve">, whoever sees </w:t>
      </w:r>
      <w:proofErr w:type="spellStart"/>
      <w:r w:rsidRPr="00BB0164">
        <w:rPr>
          <w:rFonts w:ascii="Verdana" w:hAnsi="Verdana"/>
          <w:i/>
          <w:sz w:val="24"/>
          <w:szCs w:val="24"/>
        </w:rPr>
        <w:t>Dhamma</w:t>
      </w:r>
      <w:proofErr w:type="spellEnd"/>
      <w:r w:rsidRPr="00C607A3">
        <w:rPr>
          <w:rFonts w:ascii="Verdana" w:hAnsi="Verdana"/>
          <w:sz w:val="24"/>
          <w:szCs w:val="24"/>
        </w:rPr>
        <w:t xml:space="preserve"> sees Conditioned Arising’ (</w:t>
      </w:r>
      <w:r w:rsidRPr="00BB0164">
        <w:rPr>
          <w:rFonts w:ascii="Verdana" w:hAnsi="Verdana"/>
          <w:i/>
          <w:sz w:val="24"/>
          <w:szCs w:val="24"/>
        </w:rPr>
        <w:t>M</w:t>
      </w:r>
      <w:r w:rsidRPr="00C607A3">
        <w:rPr>
          <w:rFonts w:ascii="Verdana" w:hAnsi="Verdana"/>
          <w:sz w:val="24"/>
          <w:szCs w:val="24"/>
        </w:rPr>
        <w:t xml:space="preserve">.I.191). Moreover, the Buddha referred to it and </w:t>
      </w:r>
      <w:r w:rsidRPr="00BB0164">
        <w:rPr>
          <w:rFonts w:ascii="Verdana" w:hAnsi="Verdana"/>
          <w:i/>
          <w:sz w:val="24"/>
          <w:szCs w:val="24"/>
        </w:rPr>
        <w:t>Nirv</w:t>
      </w:r>
      <w:r w:rsidR="00BB0164" w:rsidRPr="00BB0164">
        <w:rPr>
          <w:rFonts w:ascii="Verdana" w:hAnsi="Verdana"/>
          <w:i/>
          <w:sz w:val="24"/>
          <w:szCs w:val="24"/>
        </w:rPr>
        <w:t>an</w:t>
      </w:r>
      <w:r w:rsidRPr="00BB0164">
        <w:rPr>
          <w:rFonts w:ascii="Verdana" w:hAnsi="Verdana"/>
          <w:i/>
          <w:sz w:val="24"/>
          <w:szCs w:val="24"/>
        </w:rPr>
        <w:t>a</w:t>
      </w:r>
      <w:r w:rsidRPr="00C607A3">
        <w:rPr>
          <w:rFonts w:ascii="Verdana" w:hAnsi="Verdana"/>
          <w:sz w:val="24"/>
          <w:szCs w:val="24"/>
        </w:rPr>
        <w:t xml:space="preserve"> as the ‘profound, difficult to see’ </w:t>
      </w:r>
      <w:proofErr w:type="spellStart"/>
      <w:r w:rsidRPr="00BB0164">
        <w:rPr>
          <w:rFonts w:ascii="Verdana" w:hAnsi="Verdana"/>
          <w:i/>
          <w:sz w:val="24"/>
          <w:szCs w:val="24"/>
        </w:rPr>
        <w:t>Dhamma</w:t>
      </w:r>
      <w:proofErr w:type="spellEnd"/>
      <w:r w:rsidRPr="00C607A3">
        <w:rPr>
          <w:rFonts w:ascii="Verdana" w:hAnsi="Verdana"/>
          <w:sz w:val="24"/>
          <w:szCs w:val="24"/>
        </w:rPr>
        <w:t xml:space="preserve"> understood by him at his awakening (</w:t>
      </w:r>
      <w:r w:rsidRPr="00BB0164">
        <w:rPr>
          <w:rFonts w:ascii="Verdana" w:hAnsi="Verdana"/>
          <w:i/>
          <w:sz w:val="24"/>
          <w:szCs w:val="24"/>
        </w:rPr>
        <w:t>M</w:t>
      </w:r>
      <w:r w:rsidRPr="00C607A3">
        <w:rPr>
          <w:rFonts w:ascii="Verdana" w:hAnsi="Verdana"/>
          <w:sz w:val="24"/>
          <w:szCs w:val="24"/>
        </w:rPr>
        <w:t>.I.167), and taught that rebirth continues until such understanding is attained (</w:t>
      </w:r>
      <w:r w:rsidRPr="00BB0164">
        <w:rPr>
          <w:rFonts w:ascii="Verdana" w:hAnsi="Verdana"/>
          <w:i/>
          <w:sz w:val="24"/>
          <w:szCs w:val="24"/>
        </w:rPr>
        <w:t>D</w:t>
      </w:r>
      <w:r w:rsidRPr="00C607A3">
        <w:rPr>
          <w:rFonts w:ascii="Verdana" w:hAnsi="Verdana"/>
          <w:sz w:val="24"/>
          <w:szCs w:val="24"/>
        </w:rPr>
        <w:t xml:space="preserve">.II.55). </w:t>
      </w:r>
    </w:p>
    <w:p w:rsidR="00BB0164" w:rsidRDefault="00C607A3" w:rsidP="00C607A3">
      <w:pPr>
        <w:rPr>
          <w:rFonts w:ascii="Verdana" w:hAnsi="Verdana"/>
          <w:sz w:val="24"/>
          <w:szCs w:val="24"/>
        </w:rPr>
      </w:pPr>
      <w:r w:rsidRPr="00C607A3">
        <w:rPr>
          <w:rFonts w:ascii="Verdana" w:hAnsi="Verdana"/>
          <w:sz w:val="24"/>
          <w:szCs w:val="24"/>
        </w:rPr>
        <w:t>In its abstract form, the doctrine states: ‘That being, this comes to be; from the arising of that, this arises; that being absent, this is not; from the cessation of that, this ceases’ (</w:t>
      </w:r>
      <w:r w:rsidRPr="00BB0164">
        <w:rPr>
          <w:rFonts w:ascii="Verdana" w:hAnsi="Verdana"/>
          <w:i/>
          <w:sz w:val="24"/>
          <w:szCs w:val="24"/>
        </w:rPr>
        <w:t>S</w:t>
      </w:r>
      <w:r w:rsidRPr="00C607A3">
        <w:rPr>
          <w:rFonts w:ascii="Verdana" w:hAnsi="Verdana"/>
          <w:sz w:val="24"/>
          <w:szCs w:val="24"/>
        </w:rPr>
        <w:t xml:space="preserve">.II.28). This states the principle of conditionality, that all things, mental and physical, arise and exist due to the presence of certain conditions, and cease once their conditions are removed: nothing (except </w:t>
      </w:r>
      <w:r w:rsidRPr="00BB0164">
        <w:rPr>
          <w:rFonts w:ascii="Verdana" w:hAnsi="Verdana"/>
          <w:i/>
          <w:sz w:val="24"/>
          <w:szCs w:val="24"/>
        </w:rPr>
        <w:t>Nirv</w:t>
      </w:r>
      <w:r w:rsidR="00BB0164" w:rsidRPr="00BB0164">
        <w:rPr>
          <w:rFonts w:ascii="Verdana" w:hAnsi="Verdana"/>
          <w:i/>
          <w:sz w:val="24"/>
          <w:szCs w:val="24"/>
        </w:rPr>
        <w:t>an</w:t>
      </w:r>
      <w:r w:rsidRPr="00BB0164">
        <w:rPr>
          <w:rFonts w:ascii="Verdana" w:hAnsi="Verdana"/>
          <w:i/>
          <w:sz w:val="24"/>
          <w:szCs w:val="24"/>
        </w:rPr>
        <w:t>a</w:t>
      </w:r>
      <w:r w:rsidRPr="00C607A3">
        <w:rPr>
          <w:rFonts w:ascii="Verdana" w:hAnsi="Verdana"/>
          <w:sz w:val="24"/>
          <w:szCs w:val="24"/>
        </w:rPr>
        <w:t xml:space="preserve">) is independent. The doctrine thus complements the teaching that no permanent, independent self can be found. </w:t>
      </w:r>
    </w:p>
    <w:p w:rsidR="00BB0164" w:rsidRDefault="00C607A3" w:rsidP="00C607A3">
      <w:pPr>
        <w:rPr>
          <w:rFonts w:ascii="Verdana" w:hAnsi="Verdana"/>
          <w:sz w:val="24"/>
          <w:szCs w:val="24"/>
        </w:rPr>
      </w:pPr>
      <w:r w:rsidRPr="00C607A3">
        <w:rPr>
          <w:rFonts w:ascii="Verdana" w:hAnsi="Verdana"/>
          <w:sz w:val="24"/>
          <w:szCs w:val="24"/>
        </w:rPr>
        <w:t>The abstract principle expresses the general pattern found in series of conditioned and conditioning links (</w:t>
      </w:r>
      <w:proofErr w:type="spellStart"/>
      <w:r w:rsidRPr="00BB0164">
        <w:rPr>
          <w:rFonts w:ascii="Verdana" w:hAnsi="Verdana"/>
          <w:i/>
          <w:sz w:val="24"/>
          <w:szCs w:val="24"/>
        </w:rPr>
        <w:t>nid</w:t>
      </w:r>
      <w:r w:rsidR="00BB0164" w:rsidRPr="00BB0164">
        <w:rPr>
          <w:rFonts w:ascii="Verdana" w:hAnsi="Verdana"/>
          <w:i/>
          <w:sz w:val="24"/>
          <w:szCs w:val="24"/>
        </w:rPr>
        <w:t>a</w:t>
      </w:r>
      <w:r w:rsidRPr="00BB0164">
        <w:rPr>
          <w:rFonts w:ascii="Verdana" w:hAnsi="Verdana"/>
          <w:i/>
          <w:sz w:val="24"/>
          <w:szCs w:val="24"/>
        </w:rPr>
        <w:t>na</w:t>
      </w:r>
      <w:proofErr w:type="spellEnd"/>
      <w:r w:rsidRPr="00C607A3">
        <w:rPr>
          <w:rFonts w:ascii="Verdana" w:hAnsi="Verdana"/>
          <w:sz w:val="24"/>
          <w:szCs w:val="24"/>
        </w:rPr>
        <w:t xml:space="preserve">), culminating in the arising of </w:t>
      </w:r>
      <w:proofErr w:type="spellStart"/>
      <w:r w:rsidRPr="00BB0164">
        <w:rPr>
          <w:rFonts w:ascii="Verdana" w:hAnsi="Verdana"/>
          <w:i/>
          <w:sz w:val="24"/>
          <w:szCs w:val="24"/>
        </w:rPr>
        <w:t>dukkha</w:t>
      </w:r>
      <w:proofErr w:type="spellEnd"/>
      <w:r w:rsidRPr="00C607A3">
        <w:rPr>
          <w:rFonts w:ascii="Verdana" w:hAnsi="Verdana"/>
          <w:sz w:val="24"/>
          <w:szCs w:val="24"/>
        </w:rPr>
        <w:t xml:space="preserve">, with </w:t>
      </w:r>
      <w:proofErr w:type="spellStart"/>
      <w:r w:rsidRPr="00BB0164">
        <w:rPr>
          <w:rFonts w:ascii="Verdana" w:hAnsi="Verdana"/>
          <w:i/>
          <w:sz w:val="24"/>
          <w:szCs w:val="24"/>
        </w:rPr>
        <w:t>dukkha</w:t>
      </w:r>
      <w:proofErr w:type="spellEnd"/>
      <w:r w:rsidRPr="00C607A3">
        <w:rPr>
          <w:rFonts w:ascii="Verdana" w:hAnsi="Verdana"/>
          <w:sz w:val="24"/>
          <w:szCs w:val="24"/>
        </w:rPr>
        <w:t xml:space="preserve"> ending when these cease. A standard formula of twelve </w:t>
      </w:r>
      <w:proofErr w:type="spellStart"/>
      <w:r w:rsidRPr="00BB0164">
        <w:rPr>
          <w:rFonts w:ascii="Verdana" w:hAnsi="Verdana"/>
          <w:i/>
          <w:sz w:val="24"/>
          <w:szCs w:val="24"/>
        </w:rPr>
        <w:t>nid</w:t>
      </w:r>
      <w:r w:rsidR="00BB0164" w:rsidRPr="00BB0164">
        <w:rPr>
          <w:rFonts w:ascii="Verdana" w:hAnsi="Verdana"/>
          <w:i/>
          <w:sz w:val="24"/>
          <w:szCs w:val="24"/>
        </w:rPr>
        <w:t>a</w:t>
      </w:r>
      <w:r w:rsidRPr="00BB0164">
        <w:rPr>
          <w:rFonts w:ascii="Verdana" w:hAnsi="Verdana"/>
          <w:i/>
          <w:sz w:val="24"/>
          <w:szCs w:val="24"/>
        </w:rPr>
        <w:t>nas</w:t>
      </w:r>
      <w:proofErr w:type="spellEnd"/>
      <w:r w:rsidRPr="00C607A3">
        <w:rPr>
          <w:rFonts w:ascii="Verdana" w:hAnsi="Verdana"/>
          <w:sz w:val="24"/>
          <w:szCs w:val="24"/>
        </w:rPr>
        <w:t xml:space="preserve"> is most common, but there are also variations on this, which emphasize the contribution of other conditions. </w:t>
      </w:r>
    </w:p>
    <w:p w:rsidR="00D24390" w:rsidRDefault="00C607A3" w:rsidP="00C607A3">
      <w:pPr>
        <w:rPr>
          <w:rFonts w:ascii="Verdana" w:hAnsi="Verdana"/>
          <w:sz w:val="24"/>
          <w:szCs w:val="24"/>
        </w:rPr>
      </w:pPr>
      <w:r w:rsidRPr="00C607A3">
        <w:rPr>
          <w:rFonts w:ascii="Verdana" w:hAnsi="Verdana"/>
          <w:sz w:val="24"/>
          <w:szCs w:val="24"/>
        </w:rPr>
        <w:t xml:space="preserve">These variations show that the ‘that’ of the abstract formula is not a single determining cause, but a major condition, one of several. Each is a necessary condition for the arising of ‘this’, but none is alone sufficient for this to happen. </w:t>
      </w:r>
    </w:p>
    <w:p w:rsidR="00C955A3" w:rsidRDefault="00C607A3" w:rsidP="00C607A3">
      <w:pPr>
        <w:rPr>
          <w:rFonts w:ascii="Verdana" w:hAnsi="Verdana"/>
          <w:sz w:val="24"/>
          <w:szCs w:val="24"/>
        </w:rPr>
      </w:pPr>
      <w:r w:rsidRPr="00C607A3">
        <w:rPr>
          <w:rFonts w:ascii="Verdana" w:hAnsi="Verdana"/>
          <w:sz w:val="24"/>
          <w:szCs w:val="24"/>
        </w:rPr>
        <w:t xml:space="preserve">Thus the </w:t>
      </w:r>
      <w:proofErr w:type="spellStart"/>
      <w:r w:rsidRPr="00C607A3">
        <w:rPr>
          <w:rFonts w:ascii="Verdana" w:hAnsi="Verdana"/>
          <w:sz w:val="24"/>
          <w:szCs w:val="24"/>
        </w:rPr>
        <w:t>Therav</w:t>
      </w:r>
      <w:r w:rsidR="00D24390">
        <w:rPr>
          <w:rFonts w:ascii="Verdana" w:hAnsi="Verdana"/>
          <w:sz w:val="24"/>
          <w:szCs w:val="24"/>
        </w:rPr>
        <w:t>a</w:t>
      </w:r>
      <w:r w:rsidRPr="00C607A3">
        <w:rPr>
          <w:rFonts w:ascii="Verdana" w:hAnsi="Verdana"/>
          <w:sz w:val="24"/>
          <w:szCs w:val="24"/>
        </w:rPr>
        <w:t>din</w:t>
      </w:r>
      <w:proofErr w:type="spellEnd"/>
      <w:r w:rsidRPr="00C607A3">
        <w:rPr>
          <w:rFonts w:ascii="Verdana" w:hAnsi="Verdana"/>
          <w:sz w:val="24"/>
          <w:szCs w:val="24"/>
        </w:rPr>
        <w:t xml:space="preserve"> commentator </w:t>
      </w:r>
      <w:proofErr w:type="spellStart"/>
      <w:r w:rsidRPr="00C607A3">
        <w:rPr>
          <w:rFonts w:ascii="Verdana" w:hAnsi="Verdana"/>
          <w:sz w:val="24"/>
          <w:szCs w:val="24"/>
        </w:rPr>
        <w:t>Buddhaghosa</w:t>
      </w:r>
      <w:proofErr w:type="spellEnd"/>
      <w:r w:rsidRPr="00C607A3">
        <w:rPr>
          <w:rFonts w:ascii="Verdana" w:hAnsi="Verdana"/>
          <w:sz w:val="24"/>
          <w:szCs w:val="24"/>
        </w:rPr>
        <w:t xml:space="preserve"> says: ‘Here there is no single or multiple fruit of any kind from a single cause; nor a single fruit from multiple causes . . . But one representative cause and fruit are given in this way, “with spiritual ignorance as condition are the constructing activities”’ (</w:t>
      </w:r>
      <w:r w:rsidRPr="00C955A3">
        <w:rPr>
          <w:rFonts w:ascii="Verdana" w:hAnsi="Verdana"/>
          <w:i/>
          <w:sz w:val="24"/>
          <w:szCs w:val="24"/>
        </w:rPr>
        <w:t>Vism</w:t>
      </w:r>
      <w:r w:rsidRPr="00C607A3">
        <w:rPr>
          <w:rFonts w:ascii="Verdana" w:hAnsi="Verdana"/>
          <w:sz w:val="24"/>
          <w:szCs w:val="24"/>
        </w:rPr>
        <w:t xml:space="preserve">.542). </w:t>
      </w:r>
    </w:p>
    <w:p w:rsidR="00C955A3" w:rsidRDefault="00C955A3" w:rsidP="00C607A3">
      <w:pPr>
        <w:rPr>
          <w:rFonts w:ascii="Verdana" w:hAnsi="Verdana"/>
          <w:sz w:val="24"/>
          <w:szCs w:val="24"/>
        </w:rPr>
      </w:pPr>
    </w:p>
    <w:p w:rsidR="00C955A3" w:rsidRDefault="00C607A3" w:rsidP="00C607A3">
      <w:pPr>
        <w:rPr>
          <w:rFonts w:ascii="Verdana" w:hAnsi="Verdana"/>
          <w:sz w:val="24"/>
          <w:szCs w:val="24"/>
        </w:rPr>
      </w:pPr>
      <w:r w:rsidRPr="00C607A3">
        <w:rPr>
          <w:rFonts w:ascii="Verdana" w:hAnsi="Verdana"/>
          <w:sz w:val="24"/>
          <w:szCs w:val="24"/>
        </w:rPr>
        <w:lastRenderedPageBreak/>
        <w:t xml:space="preserve">A key example of conditionality not involving a single determining cause is that craving is said to arise conditioned by feeling: spiritual ignorance must also be a condition for this, as an awakened person has feeling, but no craving. </w:t>
      </w:r>
    </w:p>
    <w:p w:rsidR="00423C62" w:rsidRDefault="00C607A3" w:rsidP="00C607A3">
      <w:pPr>
        <w:rPr>
          <w:rFonts w:ascii="Verdana" w:hAnsi="Verdana"/>
          <w:sz w:val="24"/>
          <w:szCs w:val="24"/>
        </w:rPr>
      </w:pPr>
      <w:r w:rsidRPr="00C607A3">
        <w:rPr>
          <w:rFonts w:ascii="Verdana" w:hAnsi="Verdana"/>
          <w:sz w:val="24"/>
          <w:szCs w:val="24"/>
        </w:rPr>
        <w:t xml:space="preserve">The standard formula (e.g. </w:t>
      </w:r>
      <w:r w:rsidRPr="00423C62">
        <w:rPr>
          <w:rFonts w:ascii="Verdana" w:hAnsi="Verdana"/>
          <w:i/>
          <w:sz w:val="24"/>
          <w:szCs w:val="24"/>
        </w:rPr>
        <w:t>S</w:t>
      </w:r>
      <w:r w:rsidRPr="00C607A3">
        <w:rPr>
          <w:rFonts w:ascii="Verdana" w:hAnsi="Verdana"/>
          <w:sz w:val="24"/>
          <w:szCs w:val="24"/>
        </w:rPr>
        <w:t>.II.1–2</w:t>
      </w:r>
      <w:r w:rsidR="00423C62">
        <w:rPr>
          <w:rFonts w:ascii="Verdana" w:hAnsi="Verdana"/>
          <w:sz w:val="24"/>
          <w:szCs w:val="24"/>
        </w:rPr>
        <w:t xml:space="preserve">; </w:t>
      </w:r>
      <w:r w:rsidRPr="00423C62">
        <w:rPr>
          <w:rFonts w:ascii="Verdana" w:hAnsi="Verdana"/>
          <w:i/>
          <w:sz w:val="24"/>
          <w:szCs w:val="24"/>
        </w:rPr>
        <w:t>BW</w:t>
      </w:r>
      <w:r w:rsidRPr="00C607A3">
        <w:rPr>
          <w:rFonts w:ascii="Verdana" w:hAnsi="Verdana"/>
          <w:sz w:val="24"/>
          <w:szCs w:val="24"/>
        </w:rPr>
        <w:t xml:space="preserve">.353) begins ‘with spiritual ignorance as </w:t>
      </w:r>
      <w:proofErr w:type="gramStart"/>
      <w:r w:rsidRPr="00C607A3">
        <w:rPr>
          <w:rFonts w:ascii="Verdana" w:hAnsi="Verdana"/>
          <w:sz w:val="24"/>
          <w:szCs w:val="24"/>
        </w:rPr>
        <w:t>condition are</w:t>
      </w:r>
      <w:proofErr w:type="gramEnd"/>
      <w:r w:rsidRPr="00C607A3">
        <w:rPr>
          <w:rFonts w:ascii="Verdana" w:hAnsi="Verdana"/>
          <w:sz w:val="24"/>
          <w:szCs w:val="24"/>
        </w:rPr>
        <w:t xml:space="preserve"> the constructing activities; with the constructing activities as condition is consciousness’, and then continues through a series of other conditions. The series runs: (1) spiritual ignorance</w:t>
      </w:r>
      <w:r w:rsidR="00423C62" w:rsidRPr="00423C62">
        <w:rPr>
          <w:rFonts w:ascii="Verdana" w:hAnsi="Verdana"/>
          <w:sz w:val="24"/>
          <w:szCs w:val="24"/>
        </w:rPr>
        <w:sym w:font="Symbol" w:char="F0AE"/>
      </w:r>
      <w:r w:rsidR="00423C62">
        <w:rPr>
          <w:rFonts w:ascii="Verdana" w:hAnsi="Verdana"/>
          <w:sz w:val="24"/>
          <w:szCs w:val="24"/>
        </w:rPr>
        <w:t xml:space="preserve"> </w:t>
      </w:r>
      <w:r w:rsidRPr="00C607A3">
        <w:rPr>
          <w:rFonts w:ascii="Verdana" w:hAnsi="Verdana"/>
          <w:sz w:val="24"/>
          <w:szCs w:val="24"/>
        </w:rPr>
        <w:t>(2) constructing activities</w:t>
      </w:r>
      <w:r w:rsidR="00423C62" w:rsidRPr="00423C62">
        <w:rPr>
          <w:rFonts w:ascii="Verdana" w:hAnsi="Verdana"/>
          <w:sz w:val="24"/>
          <w:szCs w:val="24"/>
        </w:rPr>
        <w:sym w:font="Symbol" w:char="F0AE"/>
      </w:r>
      <w:r w:rsidRPr="00C607A3">
        <w:rPr>
          <w:rFonts w:ascii="Verdana" w:hAnsi="Verdana"/>
          <w:sz w:val="24"/>
          <w:szCs w:val="24"/>
        </w:rPr>
        <w:t xml:space="preserve"> (3) (discriminative) consciousness</w:t>
      </w:r>
      <w:r w:rsidR="00423C62" w:rsidRPr="00423C62">
        <w:rPr>
          <w:rFonts w:ascii="Verdana" w:hAnsi="Verdana"/>
          <w:sz w:val="24"/>
          <w:szCs w:val="24"/>
        </w:rPr>
        <w:sym w:font="Symbol" w:char="F0AE"/>
      </w:r>
      <w:r w:rsidRPr="00C607A3">
        <w:rPr>
          <w:rFonts w:ascii="Verdana" w:hAnsi="Verdana"/>
          <w:sz w:val="24"/>
          <w:szCs w:val="24"/>
        </w:rPr>
        <w:t xml:space="preserve"> (4) mind-and-body/the sentient body</w:t>
      </w:r>
      <w:r w:rsidR="00423C62" w:rsidRPr="00423C62">
        <w:rPr>
          <w:rFonts w:ascii="Verdana" w:hAnsi="Verdana"/>
          <w:sz w:val="24"/>
          <w:szCs w:val="24"/>
        </w:rPr>
        <w:sym w:font="Symbol" w:char="F0AE"/>
      </w:r>
      <w:r w:rsidRPr="00C607A3">
        <w:rPr>
          <w:rFonts w:ascii="Verdana" w:hAnsi="Verdana"/>
          <w:sz w:val="24"/>
          <w:szCs w:val="24"/>
        </w:rPr>
        <w:t xml:space="preserve"> (5) the six sense-bases</w:t>
      </w:r>
      <w:r w:rsidR="00423C62" w:rsidRPr="00423C62">
        <w:rPr>
          <w:rFonts w:ascii="Verdana" w:hAnsi="Verdana"/>
          <w:sz w:val="24"/>
          <w:szCs w:val="24"/>
        </w:rPr>
        <w:sym w:font="Symbol" w:char="F0AE"/>
      </w:r>
      <w:r w:rsidRPr="00C607A3">
        <w:rPr>
          <w:rFonts w:ascii="Verdana" w:hAnsi="Verdana"/>
          <w:sz w:val="24"/>
          <w:szCs w:val="24"/>
        </w:rPr>
        <w:t xml:space="preserve"> (6) sensory stimulation</w:t>
      </w:r>
      <w:r w:rsidR="00423C62" w:rsidRPr="00423C62">
        <w:rPr>
          <w:rFonts w:ascii="Verdana" w:hAnsi="Verdana"/>
          <w:sz w:val="24"/>
          <w:szCs w:val="24"/>
        </w:rPr>
        <w:sym w:font="Symbol" w:char="F0AE"/>
      </w:r>
      <w:r w:rsidRPr="00C607A3">
        <w:rPr>
          <w:rFonts w:ascii="Verdana" w:hAnsi="Verdana"/>
          <w:sz w:val="24"/>
          <w:szCs w:val="24"/>
        </w:rPr>
        <w:t xml:space="preserve"> (7) feeling</w:t>
      </w:r>
      <w:r w:rsidR="00423C62" w:rsidRPr="00423C62">
        <w:rPr>
          <w:rFonts w:ascii="Verdana" w:hAnsi="Verdana"/>
          <w:sz w:val="24"/>
          <w:szCs w:val="24"/>
        </w:rPr>
        <w:sym w:font="Symbol" w:char="F0AE"/>
      </w:r>
      <w:r w:rsidRPr="00C607A3">
        <w:rPr>
          <w:rFonts w:ascii="Verdana" w:hAnsi="Verdana"/>
          <w:sz w:val="24"/>
          <w:szCs w:val="24"/>
        </w:rPr>
        <w:t xml:space="preserve"> (8) craving</w:t>
      </w:r>
      <w:r w:rsidR="00423C62" w:rsidRPr="00423C62">
        <w:rPr>
          <w:rFonts w:ascii="Verdana" w:hAnsi="Verdana"/>
          <w:sz w:val="24"/>
          <w:szCs w:val="24"/>
        </w:rPr>
        <w:sym w:font="Symbol" w:char="F0AE"/>
      </w:r>
      <w:r w:rsidRPr="00C607A3">
        <w:rPr>
          <w:rFonts w:ascii="Verdana" w:hAnsi="Verdana"/>
          <w:sz w:val="24"/>
          <w:szCs w:val="24"/>
        </w:rPr>
        <w:t xml:space="preserve"> (9) grasping</w:t>
      </w:r>
      <w:r w:rsidR="00423C62" w:rsidRPr="00423C62">
        <w:rPr>
          <w:rFonts w:ascii="Verdana" w:hAnsi="Verdana"/>
          <w:sz w:val="24"/>
          <w:szCs w:val="24"/>
        </w:rPr>
        <w:sym w:font="Symbol" w:char="F0AE"/>
      </w:r>
      <w:r w:rsidRPr="00C607A3">
        <w:rPr>
          <w:rFonts w:ascii="Verdana" w:hAnsi="Verdana"/>
          <w:sz w:val="24"/>
          <w:szCs w:val="24"/>
        </w:rPr>
        <w:t xml:space="preserve"> (10) becoming</w:t>
      </w:r>
      <w:r w:rsidR="00423C62" w:rsidRPr="00423C62">
        <w:rPr>
          <w:rFonts w:ascii="Verdana" w:hAnsi="Verdana"/>
          <w:sz w:val="24"/>
          <w:szCs w:val="24"/>
        </w:rPr>
        <w:sym w:font="Symbol" w:char="F0AE"/>
      </w:r>
      <w:r w:rsidRPr="00C607A3">
        <w:rPr>
          <w:rFonts w:ascii="Verdana" w:hAnsi="Verdana"/>
          <w:sz w:val="24"/>
          <w:szCs w:val="24"/>
        </w:rPr>
        <w:t xml:space="preserve"> (11) birth</w:t>
      </w:r>
      <w:r w:rsidR="00423C62" w:rsidRPr="00423C62">
        <w:rPr>
          <w:rFonts w:ascii="Verdana" w:hAnsi="Verdana"/>
          <w:sz w:val="24"/>
          <w:szCs w:val="24"/>
        </w:rPr>
        <w:sym w:font="Symbol" w:char="F0AE"/>
      </w:r>
      <w:r w:rsidRPr="00C607A3">
        <w:rPr>
          <w:rFonts w:ascii="Verdana" w:hAnsi="Verdana"/>
          <w:sz w:val="24"/>
          <w:szCs w:val="24"/>
        </w:rPr>
        <w:t xml:space="preserve"> (12) ageing, death, sorrow, lamentation, pain, unhappiness and distress; ‘Thus is the origin of this whole bundle of pain (</w:t>
      </w:r>
      <w:proofErr w:type="spellStart"/>
      <w:r w:rsidRPr="00423C62">
        <w:rPr>
          <w:rFonts w:ascii="Verdana" w:hAnsi="Verdana"/>
          <w:i/>
          <w:sz w:val="24"/>
          <w:szCs w:val="24"/>
        </w:rPr>
        <w:t>dukkha-kkhandha</w:t>
      </w:r>
      <w:proofErr w:type="spellEnd"/>
      <w:r w:rsidRPr="00C607A3">
        <w:rPr>
          <w:rFonts w:ascii="Verdana" w:hAnsi="Verdana"/>
          <w:sz w:val="24"/>
          <w:szCs w:val="24"/>
        </w:rPr>
        <w:t>)’. This sequence may be explained either from (1) through to (12) or the explanation may start at (12), then specify (11) as its crucial condition, and so on back to (1).</w:t>
      </w:r>
    </w:p>
    <w:p w:rsidR="003E6D0E" w:rsidRDefault="00C607A3" w:rsidP="00423C62">
      <w:pPr>
        <w:rPr>
          <w:rFonts w:ascii="Verdana" w:hAnsi="Verdana"/>
          <w:sz w:val="24"/>
          <w:szCs w:val="24"/>
        </w:rPr>
      </w:pPr>
      <w:r w:rsidRPr="00C607A3">
        <w:rPr>
          <w:rFonts w:ascii="Verdana" w:hAnsi="Verdana"/>
          <w:sz w:val="24"/>
          <w:szCs w:val="24"/>
        </w:rPr>
        <w:t>After the formula is given in either versions of this forward (</w:t>
      </w:r>
      <w:proofErr w:type="spellStart"/>
      <w:r w:rsidRPr="00423C62">
        <w:rPr>
          <w:rFonts w:ascii="Verdana" w:hAnsi="Verdana"/>
          <w:i/>
          <w:sz w:val="24"/>
          <w:szCs w:val="24"/>
        </w:rPr>
        <w:t>anuloma</w:t>
      </w:r>
      <w:proofErr w:type="spellEnd"/>
      <w:r w:rsidRPr="00C607A3">
        <w:rPr>
          <w:rFonts w:ascii="Verdana" w:hAnsi="Verdana"/>
          <w:sz w:val="24"/>
          <w:szCs w:val="24"/>
        </w:rPr>
        <w:t>) mode, it follows in ‘reverse’ (</w:t>
      </w:r>
      <w:proofErr w:type="spellStart"/>
      <w:r w:rsidRPr="00423C62">
        <w:rPr>
          <w:rFonts w:ascii="Verdana" w:hAnsi="Verdana"/>
          <w:i/>
          <w:sz w:val="24"/>
          <w:szCs w:val="24"/>
        </w:rPr>
        <w:t>pa</w:t>
      </w:r>
      <w:r w:rsidR="00423C62" w:rsidRPr="00423C62">
        <w:rPr>
          <w:rFonts w:ascii="Verdana" w:hAnsi="Verdana"/>
          <w:i/>
          <w:sz w:val="24"/>
          <w:szCs w:val="24"/>
        </w:rPr>
        <w:t>t</w:t>
      </w:r>
      <w:r w:rsidRPr="00423C62">
        <w:rPr>
          <w:rFonts w:ascii="Verdana" w:hAnsi="Verdana"/>
          <w:i/>
          <w:sz w:val="24"/>
          <w:szCs w:val="24"/>
        </w:rPr>
        <w:t>iloma</w:t>
      </w:r>
      <w:proofErr w:type="spellEnd"/>
      <w:r w:rsidRPr="00C607A3">
        <w:rPr>
          <w:rFonts w:ascii="Verdana" w:hAnsi="Verdana"/>
          <w:sz w:val="24"/>
          <w:szCs w:val="24"/>
        </w:rPr>
        <w:t xml:space="preserve">) mode. In this form, it describes how the cessation of </w:t>
      </w:r>
      <w:proofErr w:type="spellStart"/>
      <w:r w:rsidRPr="00423C62">
        <w:rPr>
          <w:rFonts w:ascii="Verdana" w:hAnsi="Verdana"/>
          <w:i/>
          <w:sz w:val="24"/>
          <w:szCs w:val="24"/>
        </w:rPr>
        <w:t>dukkha</w:t>
      </w:r>
      <w:proofErr w:type="spellEnd"/>
      <w:r w:rsidRPr="00C607A3">
        <w:rPr>
          <w:rFonts w:ascii="Verdana" w:hAnsi="Verdana"/>
          <w:sz w:val="24"/>
          <w:szCs w:val="24"/>
        </w:rPr>
        <w:t xml:space="preserve"> is from the complete cessation of spiritual ignorance and the consequent cessation of each following </w:t>
      </w:r>
      <w:proofErr w:type="spellStart"/>
      <w:r w:rsidRPr="00423C62">
        <w:rPr>
          <w:rFonts w:ascii="Verdana" w:hAnsi="Verdana"/>
          <w:i/>
          <w:sz w:val="24"/>
          <w:szCs w:val="24"/>
        </w:rPr>
        <w:t>nid</w:t>
      </w:r>
      <w:r w:rsidR="00423C62" w:rsidRPr="00423C62">
        <w:rPr>
          <w:rFonts w:ascii="Verdana" w:hAnsi="Verdana"/>
          <w:i/>
          <w:sz w:val="24"/>
          <w:szCs w:val="24"/>
        </w:rPr>
        <w:t>a</w:t>
      </w:r>
      <w:r w:rsidRPr="00423C62">
        <w:rPr>
          <w:rFonts w:ascii="Verdana" w:hAnsi="Verdana"/>
          <w:i/>
          <w:sz w:val="24"/>
          <w:szCs w:val="24"/>
        </w:rPr>
        <w:t>na</w:t>
      </w:r>
      <w:proofErr w:type="spellEnd"/>
      <w:r w:rsidR="003E6D0E">
        <w:rPr>
          <w:rFonts w:ascii="Verdana" w:hAnsi="Verdana"/>
          <w:sz w:val="24"/>
          <w:szCs w:val="24"/>
        </w:rPr>
        <w:t xml:space="preserve"> . . .</w:t>
      </w:r>
      <w:r w:rsidR="00423C62">
        <w:rPr>
          <w:rFonts w:ascii="Verdana" w:hAnsi="Verdana"/>
          <w:sz w:val="24"/>
          <w:szCs w:val="24"/>
        </w:rPr>
        <w:t xml:space="preserve"> </w:t>
      </w:r>
    </w:p>
    <w:p w:rsidR="00C607A3" w:rsidRPr="00C607A3" w:rsidRDefault="003E6D0E" w:rsidP="00423C62">
      <w:pPr>
        <w:rPr>
          <w:rFonts w:ascii="Verdana" w:hAnsi="Verdana"/>
          <w:sz w:val="24"/>
          <w:szCs w:val="24"/>
        </w:rPr>
      </w:pPr>
      <w:r>
        <w:rPr>
          <w:rFonts w:ascii="Verdana" w:hAnsi="Verdana"/>
          <w:sz w:val="24"/>
          <w:szCs w:val="24"/>
        </w:rPr>
        <w:t>[T</w:t>
      </w:r>
      <w:r w:rsidR="00423C62" w:rsidRPr="00423C62">
        <w:rPr>
          <w:rFonts w:ascii="Verdana" w:hAnsi="Verdana"/>
          <w:sz w:val="24"/>
          <w:szCs w:val="24"/>
        </w:rPr>
        <w:t>his formula</w:t>
      </w:r>
      <w:r>
        <w:rPr>
          <w:rFonts w:ascii="Verdana" w:hAnsi="Verdana"/>
          <w:sz w:val="24"/>
          <w:szCs w:val="24"/>
        </w:rPr>
        <w:t>]</w:t>
      </w:r>
      <w:r w:rsidR="00423C62" w:rsidRPr="00423C62">
        <w:rPr>
          <w:rFonts w:ascii="Verdana" w:hAnsi="Verdana"/>
          <w:sz w:val="24"/>
          <w:szCs w:val="24"/>
        </w:rPr>
        <w:t xml:space="preserve"> explains how </w:t>
      </w:r>
      <w:proofErr w:type="spellStart"/>
      <w:r w:rsidR="00423C62" w:rsidRPr="003E6D0E">
        <w:rPr>
          <w:rFonts w:ascii="Verdana" w:hAnsi="Verdana"/>
          <w:i/>
          <w:sz w:val="24"/>
          <w:szCs w:val="24"/>
        </w:rPr>
        <w:t>dukkha</w:t>
      </w:r>
      <w:proofErr w:type="spellEnd"/>
      <w:r w:rsidR="00423C62" w:rsidRPr="00423C62">
        <w:rPr>
          <w:rFonts w:ascii="Verdana" w:hAnsi="Verdana"/>
          <w:sz w:val="24"/>
          <w:szCs w:val="24"/>
        </w:rPr>
        <w:t xml:space="preserve">, the first True Reality for the Spiritually Ennobled, comes about, the originating set of conditions for this being the second True Reality. The formula in reverse mode describes the cessation of </w:t>
      </w:r>
      <w:proofErr w:type="spellStart"/>
      <w:r w:rsidR="00423C62" w:rsidRPr="003E6D0E">
        <w:rPr>
          <w:rFonts w:ascii="Verdana" w:hAnsi="Verdana"/>
          <w:i/>
          <w:sz w:val="24"/>
          <w:szCs w:val="24"/>
        </w:rPr>
        <w:t>dukkha</w:t>
      </w:r>
      <w:proofErr w:type="spellEnd"/>
      <w:r w:rsidR="00423C62" w:rsidRPr="00423C62">
        <w:rPr>
          <w:rFonts w:ascii="Verdana" w:hAnsi="Verdana"/>
          <w:sz w:val="24"/>
          <w:szCs w:val="24"/>
        </w:rPr>
        <w:t xml:space="preserve">, namely </w:t>
      </w:r>
      <w:r w:rsidR="00423C62" w:rsidRPr="003E6D0E">
        <w:rPr>
          <w:rFonts w:ascii="Verdana" w:hAnsi="Verdana"/>
          <w:i/>
          <w:sz w:val="24"/>
          <w:szCs w:val="24"/>
        </w:rPr>
        <w:t>Nirv</w:t>
      </w:r>
      <w:r w:rsidRPr="003E6D0E">
        <w:rPr>
          <w:rFonts w:ascii="Verdana" w:hAnsi="Verdana"/>
          <w:i/>
          <w:sz w:val="24"/>
          <w:szCs w:val="24"/>
        </w:rPr>
        <w:t>an</w:t>
      </w:r>
      <w:r w:rsidR="00423C62" w:rsidRPr="003E6D0E">
        <w:rPr>
          <w:rFonts w:ascii="Verdana" w:hAnsi="Verdana"/>
          <w:i/>
          <w:sz w:val="24"/>
          <w:szCs w:val="24"/>
        </w:rPr>
        <w:t>a</w:t>
      </w:r>
      <w:r w:rsidR="00423C62" w:rsidRPr="00423C62">
        <w:rPr>
          <w:rFonts w:ascii="Verdana" w:hAnsi="Verdana"/>
          <w:sz w:val="24"/>
          <w:szCs w:val="24"/>
        </w:rPr>
        <w:t>, the third True Reality (</w:t>
      </w:r>
      <w:r w:rsidR="00423C62" w:rsidRPr="003E6D0E">
        <w:rPr>
          <w:rFonts w:ascii="Verdana" w:hAnsi="Verdana"/>
          <w:i/>
          <w:sz w:val="24"/>
          <w:szCs w:val="24"/>
        </w:rPr>
        <w:t>A</w:t>
      </w:r>
      <w:r w:rsidR="00423C62" w:rsidRPr="00423C62">
        <w:rPr>
          <w:rFonts w:ascii="Verdana" w:hAnsi="Verdana"/>
          <w:sz w:val="24"/>
          <w:szCs w:val="24"/>
        </w:rPr>
        <w:t xml:space="preserve">.I.177). It is also said that the Noble Eight-factored Path, the fourth True Reality, is the way going to the cessation of each of the twelve links, and thus of </w:t>
      </w:r>
      <w:proofErr w:type="spellStart"/>
      <w:r w:rsidR="00423C62" w:rsidRPr="003E6D0E">
        <w:rPr>
          <w:rFonts w:ascii="Verdana" w:hAnsi="Verdana"/>
          <w:i/>
          <w:sz w:val="24"/>
          <w:szCs w:val="24"/>
        </w:rPr>
        <w:t>dukkha</w:t>
      </w:r>
      <w:proofErr w:type="spellEnd"/>
      <w:r w:rsidR="00423C62" w:rsidRPr="00423C62">
        <w:rPr>
          <w:rFonts w:ascii="Verdana" w:hAnsi="Verdana"/>
          <w:sz w:val="24"/>
          <w:szCs w:val="24"/>
        </w:rPr>
        <w:t xml:space="preserve"> (</w:t>
      </w:r>
      <w:r w:rsidR="00423C62" w:rsidRPr="003E6D0E">
        <w:rPr>
          <w:rFonts w:ascii="Verdana" w:hAnsi="Verdana"/>
          <w:i/>
          <w:sz w:val="24"/>
          <w:szCs w:val="24"/>
        </w:rPr>
        <w:t>S</w:t>
      </w:r>
      <w:r w:rsidR="00423C62" w:rsidRPr="00423C62">
        <w:rPr>
          <w:rFonts w:ascii="Verdana" w:hAnsi="Verdana"/>
          <w:sz w:val="24"/>
          <w:szCs w:val="24"/>
        </w:rPr>
        <w:t>.II.43 and 56–9</w:t>
      </w:r>
      <w:r>
        <w:rPr>
          <w:rFonts w:ascii="Verdana" w:hAnsi="Verdana"/>
          <w:sz w:val="24"/>
          <w:szCs w:val="24"/>
        </w:rPr>
        <w:t>;</w:t>
      </w:r>
      <w:r w:rsidR="00423C62" w:rsidRPr="00423C62">
        <w:rPr>
          <w:rFonts w:ascii="Verdana" w:hAnsi="Verdana"/>
          <w:sz w:val="24"/>
          <w:szCs w:val="24"/>
        </w:rPr>
        <w:t xml:space="preserve"> </w:t>
      </w:r>
      <w:r w:rsidR="00423C62" w:rsidRPr="003E6D0E">
        <w:rPr>
          <w:rFonts w:ascii="Verdana" w:hAnsi="Verdana"/>
          <w:i/>
          <w:sz w:val="24"/>
          <w:szCs w:val="24"/>
        </w:rPr>
        <w:t>BW</w:t>
      </w:r>
      <w:r w:rsidR="00423C62" w:rsidRPr="00423C62">
        <w:rPr>
          <w:rFonts w:ascii="Verdana" w:hAnsi="Verdana"/>
          <w:sz w:val="24"/>
          <w:szCs w:val="24"/>
        </w:rPr>
        <w:t>.355–6).</w:t>
      </w:r>
    </w:p>
    <w:p w:rsidR="00C607A3" w:rsidRPr="00C607A3" w:rsidRDefault="00C607A3" w:rsidP="00C607A3">
      <w:pPr>
        <w:rPr>
          <w:rFonts w:ascii="Verdana" w:hAnsi="Verdana"/>
          <w:sz w:val="24"/>
          <w:szCs w:val="24"/>
        </w:rPr>
      </w:pPr>
      <w:r w:rsidRPr="00C607A3">
        <w:rPr>
          <w:rFonts w:ascii="Verdana" w:hAnsi="Verdana"/>
          <w:sz w:val="24"/>
          <w:szCs w:val="24"/>
        </w:rPr>
        <w:t xml:space="preserve">Source: Excerpted, with minor edits, from Harvey, P. (2013) </w:t>
      </w:r>
      <w:proofErr w:type="gramStart"/>
      <w:r w:rsidRPr="00C607A3">
        <w:rPr>
          <w:rFonts w:ascii="Verdana" w:hAnsi="Verdana"/>
          <w:i/>
          <w:iCs/>
          <w:sz w:val="24"/>
          <w:szCs w:val="24"/>
        </w:rPr>
        <w:t>An</w:t>
      </w:r>
      <w:proofErr w:type="gramEnd"/>
      <w:r w:rsidRPr="00C607A3">
        <w:rPr>
          <w:rFonts w:ascii="Verdana" w:hAnsi="Verdana"/>
          <w:i/>
          <w:iCs/>
          <w:sz w:val="24"/>
          <w:szCs w:val="24"/>
        </w:rPr>
        <w:t xml:space="preserve"> introduction to Buddhism: teachings, history and practices</w:t>
      </w:r>
      <w:r w:rsidRPr="00C607A3">
        <w:rPr>
          <w:rFonts w:ascii="Verdana" w:hAnsi="Verdana"/>
          <w:sz w:val="24"/>
          <w:szCs w:val="24"/>
        </w:rPr>
        <w:t xml:space="preserve">. </w:t>
      </w:r>
      <w:proofErr w:type="gramStart"/>
      <w:r w:rsidRPr="00C607A3">
        <w:rPr>
          <w:rFonts w:ascii="Verdana" w:hAnsi="Verdana"/>
          <w:sz w:val="24"/>
          <w:szCs w:val="24"/>
        </w:rPr>
        <w:t xml:space="preserve">2nd </w:t>
      </w:r>
      <w:proofErr w:type="spellStart"/>
      <w:r w:rsidRPr="00C607A3">
        <w:rPr>
          <w:rFonts w:ascii="Verdana" w:hAnsi="Verdana"/>
          <w:sz w:val="24"/>
          <w:szCs w:val="24"/>
        </w:rPr>
        <w:t>edn</w:t>
      </w:r>
      <w:proofErr w:type="spellEnd"/>
      <w:r w:rsidRPr="00C607A3">
        <w:rPr>
          <w:rFonts w:ascii="Verdana" w:hAnsi="Verdana"/>
          <w:sz w:val="24"/>
          <w:szCs w:val="24"/>
        </w:rPr>
        <w:t>.</w:t>
      </w:r>
      <w:proofErr w:type="gramEnd"/>
      <w:r w:rsidRPr="00C607A3">
        <w:rPr>
          <w:rFonts w:ascii="Verdana" w:hAnsi="Verdana"/>
          <w:sz w:val="24"/>
          <w:szCs w:val="24"/>
        </w:rPr>
        <w:t xml:space="preserve"> Cambridge: Cambridge University Press. (Pages 6</w:t>
      </w:r>
      <w:r>
        <w:rPr>
          <w:rFonts w:ascii="Verdana" w:hAnsi="Verdana"/>
          <w:sz w:val="24"/>
          <w:szCs w:val="24"/>
        </w:rPr>
        <w:t>5</w:t>
      </w:r>
      <w:r w:rsidRPr="00C607A3">
        <w:rPr>
          <w:rFonts w:ascii="Verdana" w:hAnsi="Verdana"/>
          <w:sz w:val="24"/>
          <w:szCs w:val="24"/>
        </w:rPr>
        <w:t>-66.)</w:t>
      </w:r>
    </w:p>
    <w:p w:rsidR="00E24630" w:rsidRPr="00C607A3" w:rsidRDefault="007D12C9">
      <w:pPr>
        <w:rPr>
          <w:rFonts w:ascii="Verdana" w:hAnsi="Verdana"/>
          <w:sz w:val="24"/>
          <w:szCs w:val="24"/>
        </w:rPr>
      </w:pPr>
    </w:p>
    <w:sectPr w:rsidR="00E24630" w:rsidRPr="00C607A3" w:rsidSect="00716661">
      <w:headerReference w:type="default"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2C9" w:rsidRDefault="007D12C9" w:rsidP="00716661">
      <w:pPr>
        <w:spacing w:after="0" w:line="240" w:lineRule="auto"/>
      </w:pPr>
      <w:r>
        <w:separator/>
      </w:r>
    </w:p>
  </w:endnote>
  <w:endnote w:type="continuationSeparator" w:id="0">
    <w:p w:rsidR="007D12C9" w:rsidRDefault="007D12C9" w:rsidP="00716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2534"/>
      <w:docPartObj>
        <w:docPartGallery w:val="Page Numbers (Bottom of Page)"/>
        <w:docPartUnique/>
      </w:docPartObj>
    </w:sdtPr>
    <w:sdtContent>
      <w:p w:rsidR="00716661" w:rsidRDefault="00716661">
        <w:pPr>
          <w:pStyle w:val="Footer"/>
          <w:jc w:val="center"/>
        </w:pPr>
        <w:fldSimple w:instr=" PAGE   \* MERGEFORMAT ">
          <w:r>
            <w:rPr>
              <w:noProof/>
            </w:rPr>
            <w:t>2</w:t>
          </w:r>
        </w:fldSimple>
      </w:p>
    </w:sdtContent>
  </w:sdt>
  <w:p w:rsidR="00716661" w:rsidRDefault="00716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2C9" w:rsidRDefault="007D12C9" w:rsidP="00716661">
      <w:pPr>
        <w:spacing w:after="0" w:line="240" w:lineRule="auto"/>
      </w:pPr>
      <w:r>
        <w:separator/>
      </w:r>
    </w:p>
  </w:footnote>
  <w:footnote w:type="continuationSeparator" w:id="0">
    <w:p w:rsidR="007D12C9" w:rsidRDefault="007D12C9" w:rsidP="007166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61" w:rsidRPr="00716661" w:rsidRDefault="00716661" w:rsidP="00716661">
    <w:pPr>
      <w:pStyle w:val="Header"/>
      <w:rPr>
        <w:rFonts w:ascii="Verdana" w:hAnsi="Verdana"/>
        <w:sz w:val="20"/>
        <w:szCs w:val="20"/>
      </w:rPr>
    </w:pPr>
    <w:r w:rsidRPr="00716661">
      <w:rPr>
        <w:rFonts w:ascii="Verdana" w:hAnsi="Verdana"/>
        <w:sz w:val="20"/>
        <w:szCs w:val="20"/>
      </w:rPr>
      <w:t>Conditioned Arising</w:t>
    </w:r>
  </w:p>
  <w:p w:rsidR="00716661" w:rsidRDefault="007166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C607A3"/>
    <w:rsid w:val="00381B09"/>
    <w:rsid w:val="003E6D0E"/>
    <w:rsid w:val="00423C62"/>
    <w:rsid w:val="00716661"/>
    <w:rsid w:val="007D12C9"/>
    <w:rsid w:val="00A407B8"/>
    <w:rsid w:val="00A77FBC"/>
    <w:rsid w:val="00AD00D9"/>
    <w:rsid w:val="00BB0164"/>
    <w:rsid w:val="00C607A3"/>
    <w:rsid w:val="00C955A3"/>
    <w:rsid w:val="00D2439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B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661"/>
  </w:style>
  <w:style w:type="paragraph" w:styleId="Footer">
    <w:name w:val="footer"/>
    <w:basedOn w:val="Normal"/>
    <w:link w:val="FooterChar"/>
    <w:uiPriority w:val="99"/>
    <w:unhideWhenUsed/>
    <w:rsid w:val="00716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6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305E"/>
    <w:rsid w:val="0002305E"/>
    <w:rsid w:val="00673BA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8F46C77EB4259983AAA58FE05AF75">
    <w:name w:val="28C8F46C77EB4259983AAA58FE05AF75"/>
    <w:rsid w:val="000230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2015-08-04T23:39:00Z</dcterms:created>
  <dcterms:modified xsi:type="dcterms:W3CDTF">2015-08-05T02:11:00Z</dcterms:modified>
</cp:coreProperties>
</file>